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4F2C7582" wp14:editId="77A4D59D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E" w:rsidRDefault="00652C6E" w:rsidP="00652C6E"/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8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ბიუჯეტის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პირველი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კვარტ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ლის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Tbilisi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652C6E" w:rsidRPr="00405D79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20</w:t>
      </w:r>
      <w:r>
        <w:rPr>
          <w:rFonts w:ascii="AcadMtavr" w:hAnsi="AcadMtavr"/>
          <w:b/>
          <w:bCs/>
          <w:sz w:val="28"/>
          <w:szCs w:val="28"/>
          <w:lang w:val="pt-BR"/>
        </w:rPr>
        <w:t>1</w:t>
      </w:r>
      <w:r>
        <w:rPr>
          <w:rFonts w:ascii="Sylfaen" w:hAnsi="Sylfaen"/>
          <w:b/>
          <w:bCs/>
          <w:sz w:val="28"/>
          <w:szCs w:val="28"/>
        </w:rPr>
        <w:t>8</w:t>
      </w:r>
    </w:p>
    <w:p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1322B1" w:rsidRPr="00185F45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:rsidR="007E6BC3" w:rsidRDefault="001322B1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0A3FEE">
        <w:rPr>
          <w:rFonts w:ascii="Sylfaen" w:hAnsi="Sylfaen"/>
          <w:b/>
          <w:noProof/>
          <w:sz w:val="28"/>
          <w:szCs w:val="28"/>
          <w:lang w:val="ka-GE"/>
        </w:rPr>
        <w:t>8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40552">
        <w:rPr>
          <w:rFonts w:ascii="Sylfaen" w:hAnsi="Sylfaen"/>
          <w:b/>
          <w:noProof/>
          <w:sz w:val="28"/>
          <w:szCs w:val="28"/>
          <w:lang w:val="pt-BR"/>
        </w:rPr>
        <w:t xml:space="preserve">I 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კვარტლის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სახელმწიფო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81"/>
        <w:gridCol w:w="1665"/>
        <w:gridCol w:w="1661"/>
        <w:gridCol w:w="1659"/>
      </w:tblGrid>
      <w:tr w:rsidR="000A3FEE" w:rsidTr="00EC2A3C">
        <w:trPr>
          <w:trHeight w:val="288"/>
          <w:tblHeader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 თვის დაზუსტებული გეგმა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 თვის ფაქტიური შესრულება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შესრულება %-ში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2,427,049.7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2,635,060.2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108.6%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2,236,000.0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2,380,010.9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106.4%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127,848.7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187,890.9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147.0%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63,201.0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67,158.4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106.3%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2,230,908.3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2,093,765.6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93.9%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342,426.1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322,356.9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94.1%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307,547.9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257,593.4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83.8%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129,800.0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128,435.8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109,331.6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93,879.8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85.9%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245,002.6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231,899.8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853,220.8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832,235.2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243,579.3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227,364.7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196,141.4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541,294.6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276.0%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326,112.5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277,394.6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85.1%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337,312.5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310,617.1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11,200.0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33,222.5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296.6%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მთლიანი სალდო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-129,971.1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263,900.0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-203.0%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ფინასური აქტივების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-5,389.1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379,600.3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-7043.8%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49,975.0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385,004.1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770.4%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339,235.6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39,045.0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39,052.1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10,930.0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6,716.4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61.4%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55,364.1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5,403.8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9.8%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51,364.1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4,844.4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121.1%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559.4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124,582.0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115,700.3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92.9%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306,264.0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295,804.8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96.6%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-10,748.0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-7,590.3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70.6%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Pr="00EC2A3C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  <w:r w:rsidR="00EC2A3C"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</w:t>
            </w:r>
            <w:bookmarkStart w:id="0" w:name="_GoBack"/>
            <w:bookmarkEnd w:id="0"/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-10,748.0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-7,591.3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70.6%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317,012.0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303,395.1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95.7%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317,012.0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303,395.1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181,682.0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180,104.5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99.1%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5,082.0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5,082.0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100.0%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საგარეო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176,600.0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175,022.5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99.1%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176,600.0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175,022.5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0A3FEE" w:rsidTr="00EC2A3C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ბალანსი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A3FEE" w:rsidRDefault="000A3FEE" w:rsidP="00F64FB6">
      <w:pPr>
        <w:tabs>
          <w:tab w:val="left" w:pos="4590"/>
        </w:tabs>
        <w:spacing w:line="276" w:lineRule="auto"/>
        <w:ind w:right="-630"/>
        <w:jc w:val="both"/>
        <w:rPr>
          <w:rFonts w:ascii="Sylfaen" w:hAnsi="Sylfaen"/>
          <w:i/>
          <w:noProof/>
          <w:sz w:val="18"/>
          <w:szCs w:val="20"/>
          <w:lang w:val="ka-GE"/>
        </w:rPr>
      </w:pPr>
    </w:p>
    <w:p w:rsidR="000A3FEE" w:rsidRDefault="000A3FEE" w:rsidP="00F64FB6">
      <w:pPr>
        <w:tabs>
          <w:tab w:val="left" w:pos="4590"/>
        </w:tabs>
        <w:spacing w:line="276" w:lineRule="auto"/>
        <w:ind w:right="-630"/>
        <w:jc w:val="both"/>
        <w:rPr>
          <w:rFonts w:ascii="Sylfaen" w:hAnsi="Sylfaen"/>
          <w:i/>
          <w:noProof/>
          <w:sz w:val="18"/>
          <w:szCs w:val="20"/>
          <w:lang w:val="ka-GE"/>
        </w:rPr>
      </w:pPr>
    </w:p>
    <w:p w:rsidR="00F64FB6" w:rsidRPr="000E7B77" w:rsidRDefault="00F64FB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20"/>
          <w:lang w:val="pt-BR"/>
        </w:rPr>
      </w:pPr>
      <w:r w:rsidRPr="00652C6E">
        <w:rPr>
          <w:rFonts w:ascii="Sylfaen" w:hAnsi="Sylfaen"/>
          <w:i/>
          <w:noProof/>
          <w:sz w:val="18"/>
          <w:szCs w:val="20"/>
          <w:lang w:val="ka-GE"/>
        </w:rPr>
        <w:t>*</w:t>
      </w:r>
      <w:r w:rsidRPr="00652C6E">
        <w:rPr>
          <w:rFonts w:ascii="Sylfaen" w:hAnsi="Sylfaen"/>
          <w:i/>
          <w:noProof/>
          <w:sz w:val="18"/>
          <w:szCs w:val="20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545297" w:rsidRPr="00652C6E">
        <w:rPr>
          <w:rFonts w:ascii="Sylfaen" w:hAnsi="Sylfaen"/>
          <w:i/>
          <w:noProof/>
          <w:sz w:val="18"/>
          <w:szCs w:val="20"/>
          <w:lang w:val="ka-GE"/>
        </w:rPr>
        <w:t>406</w:t>
      </w:r>
      <w:r w:rsidR="00740FB0" w:rsidRPr="00652C6E">
        <w:rPr>
          <w:rFonts w:ascii="Sylfaen" w:hAnsi="Sylfaen"/>
          <w:i/>
          <w:noProof/>
          <w:sz w:val="18"/>
          <w:szCs w:val="20"/>
          <w:lang w:val="ka-GE"/>
        </w:rPr>
        <w:t xml:space="preserve"> </w:t>
      </w:r>
      <w:r w:rsidR="00545297" w:rsidRPr="00652C6E">
        <w:rPr>
          <w:rFonts w:ascii="Sylfaen" w:hAnsi="Sylfaen"/>
          <w:i/>
          <w:noProof/>
          <w:sz w:val="18"/>
          <w:szCs w:val="20"/>
          <w:lang w:val="ka-GE"/>
        </w:rPr>
        <w:t>713</w:t>
      </w:r>
      <w:r w:rsidRPr="00652C6E">
        <w:rPr>
          <w:rFonts w:ascii="Sylfaen" w:hAnsi="Sylfaen"/>
          <w:i/>
          <w:noProof/>
          <w:sz w:val="18"/>
          <w:szCs w:val="20"/>
          <w:lang w:val="pt-BR"/>
        </w:rPr>
        <w:t>.</w:t>
      </w:r>
      <w:r w:rsidR="00545297" w:rsidRPr="00652C6E">
        <w:rPr>
          <w:rFonts w:ascii="Sylfaen" w:hAnsi="Sylfaen"/>
          <w:i/>
          <w:noProof/>
          <w:sz w:val="18"/>
          <w:szCs w:val="20"/>
          <w:lang w:val="ka-GE"/>
        </w:rPr>
        <w:t>2</w:t>
      </w:r>
      <w:r w:rsidRPr="00652C6E">
        <w:rPr>
          <w:rFonts w:ascii="Sylfaen" w:hAnsi="Sylfaen"/>
          <w:i/>
          <w:noProof/>
          <w:sz w:val="18"/>
          <w:szCs w:val="20"/>
          <w:lang w:val="pt-BR"/>
        </w:rPr>
        <w:t xml:space="preserve"> ათასი ლარი, ხოლო ძირითადი თანხის დაფარვამ </w:t>
      </w:r>
      <w:r w:rsidR="00545297" w:rsidRPr="00652C6E">
        <w:rPr>
          <w:rFonts w:ascii="Sylfaen" w:hAnsi="Sylfaen"/>
          <w:i/>
          <w:noProof/>
          <w:sz w:val="18"/>
          <w:szCs w:val="20"/>
          <w:lang w:val="ka-GE"/>
        </w:rPr>
        <w:t>414</w:t>
      </w:r>
      <w:r w:rsidR="00740FB0" w:rsidRPr="00652C6E">
        <w:rPr>
          <w:rFonts w:ascii="Sylfaen" w:hAnsi="Sylfaen"/>
          <w:i/>
          <w:noProof/>
          <w:sz w:val="18"/>
          <w:szCs w:val="20"/>
          <w:lang w:val="ka-GE"/>
        </w:rPr>
        <w:t xml:space="preserve"> </w:t>
      </w:r>
      <w:r w:rsidR="00545297" w:rsidRPr="00652C6E">
        <w:rPr>
          <w:rFonts w:ascii="Sylfaen" w:hAnsi="Sylfaen"/>
          <w:i/>
          <w:noProof/>
          <w:sz w:val="18"/>
          <w:szCs w:val="20"/>
          <w:lang w:val="ka-GE"/>
        </w:rPr>
        <w:t>304</w:t>
      </w:r>
      <w:r w:rsidRPr="00652C6E">
        <w:rPr>
          <w:rFonts w:ascii="Sylfaen" w:hAnsi="Sylfaen"/>
          <w:i/>
          <w:noProof/>
          <w:sz w:val="18"/>
          <w:szCs w:val="20"/>
          <w:lang w:val="pt-BR"/>
        </w:rPr>
        <w:t>.4 ათასი ლარი შეადგინა. შესაბამისად, სახაზინო ვალდებულებების და სახაზინო ობლიგაციების გამოშვები</w:t>
      </w:r>
      <w:r w:rsidR="00E7329E" w:rsidRPr="00652C6E">
        <w:rPr>
          <w:rFonts w:ascii="Sylfaen" w:hAnsi="Sylfaen"/>
          <w:i/>
          <w:noProof/>
          <w:sz w:val="18"/>
          <w:szCs w:val="20"/>
          <w:lang w:val="pt-BR"/>
        </w:rPr>
        <w:t>ს შედეგად, საშინაო ვალდებულების</w:t>
      </w:r>
      <w:r w:rsidR="00E7329E" w:rsidRPr="00652C6E">
        <w:rPr>
          <w:rFonts w:ascii="Sylfaen" w:hAnsi="Sylfaen"/>
          <w:i/>
          <w:noProof/>
          <w:sz w:val="18"/>
          <w:szCs w:val="20"/>
          <w:lang w:val="ka-GE"/>
        </w:rPr>
        <w:t xml:space="preserve"> </w:t>
      </w:r>
      <w:r w:rsidRPr="00652C6E">
        <w:rPr>
          <w:rFonts w:ascii="Sylfaen" w:hAnsi="Sylfaen"/>
          <w:i/>
          <w:noProof/>
          <w:sz w:val="18"/>
          <w:szCs w:val="20"/>
          <w:lang w:val="pt-BR"/>
        </w:rPr>
        <w:t xml:space="preserve">ზრდამ შეადგინა </w:t>
      </w:r>
      <w:r w:rsidR="00545297" w:rsidRPr="00652C6E">
        <w:rPr>
          <w:rFonts w:ascii="Sylfaen" w:hAnsi="Sylfaen"/>
          <w:i/>
          <w:noProof/>
          <w:sz w:val="18"/>
          <w:szCs w:val="20"/>
          <w:lang w:val="ka-GE"/>
        </w:rPr>
        <w:t>(-7</w:t>
      </w:r>
      <w:r w:rsidR="00740FB0" w:rsidRPr="00652C6E">
        <w:rPr>
          <w:rFonts w:ascii="Sylfaen" w:hAnsi="Sylfaen"/>
          <w:i/>
          <w:noProof/>
          <w:sz w:val="18"/>
          <w:szCs w:val="20"/>
          <w:lang w:val="ka-GE"/>
        </w:rPr>
        <w:t xml:space="preserve"> </w:t>
      </w:r>
      <w:r w:rsidR="00545297" w:rsidRPr="00652C6E">
        <w:rPr>
          <w:rFonts w:ascii="Sylfaen" w:hAnsi="Sylfaen"/>
          <w:i/>
          <w:noProof/>
          <w:sz w:val="18"/>
          <w:szCs w:val="20"/>
          <w:lang w:val="ka-GE"/>
        </w:rPr>
        <w:t>591</w:t>
      </w:r>
      <w:r w:rsidR="00740FB0" w:rsidRPr="00652C6E">
        <w:rPr>
          <w:rFonts w:ascii="Sylfaen" w:hAnsi="Sylfaen"/>
          <w:i/>
          <w:noProof/>
          <w:sz w:val="18"/>
          <w:szCs w:val="20"/>
          <w:lang w:val="pt-BR"/>
        </w:rPr>
        <w:t>.3</w:t>
      </w:r>
      <w:r w:rsidR="00545297" w:rsidRPr="00652C6E">
        <w:rPr>
          <w:rFonts w:ascii="Sylfaen" w:hAnsi="Sylfaen"/>
          <w:i/>
          <w:noProof/>
          <w:sz w:val="18"/>
          <w:szCs w:val="20"/>
          <w:lang w:val="ka-GE"/>
        </w:rPr>
        <w:t>)</w:t>
      </w:r>
      <w:r w:rsidR="00740FB0" w:rsidRPr="00652C6E">
        <w:rPr>
          <w:rFonts w:ascii="Sylfaen" w:hAnsi="Sylfaen"/>
          <w:i/>
          <w:noProof/>
          <w:sz w:val="18"/>
          <w:szCs w:val="20"/>
          <w:lang w:val="pt-BR"/>
        </w:rPr>
        <w:t xml:space="preserve"> </w:t>
      </w:r>
      <w:r w:rsidRPr="00652C6E">
        <w:rPr>
          <w:rFonts w:ascii="Sylfaen" w:hAnsi="Sylfaen"/>
          <w:i/>
          <w:noProof/>
          <w:sz w:val="18"/>
          <w:szCs w:val="20"/>
          <w:lang w:val="pt-BR"/>
        </w:rPr>
        <w:t>ათასი ლარი.</w:t>
      </w:r>
    </w:p>
    <w:p w:rsidR="00636269" w:rsidRDefault="00636269" w:rsidP="00636269">
      <w:pPr>
        <w:tabs>
          <w:tab w:val="left" w:pos="4590"/>
        </w:tabs>
        <w:spacing w:line="276" w:lineRule="auto"/>
        <w:ind w:left="-90" w:right="-630"/>
        <w:jc w:val="both"/>
        <w:rPr>
          <w:rFonts w:ascii="Sylfaen" w:hAnsi="Sylfaen" w:cs="Sylfaen"/>
          <w:i/>
          <w:noProof/>
          <w:sz w:val="18"/>
          <w:szCs w:val="20"/>
        </w:rPr>
      </w:pPr>
    </w:p>
    <w:p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6B37E4" w:rsidRPr="00776AEE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81"/>
        <w:gridCol w:w="1665"/>
        <w:gridCol w:w="1661"/>
        <w:gridCol w:w="1659"/>
      </w:tblGrid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 თვის დაზუსტებული გეგმა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 თვის ფაქტიური შესრულება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შესრულება %-ში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2,748,513.7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2,969,491.3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108.0%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2,427,049.7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2,635,060.2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108.6%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11,200.0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33,222.5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296.6%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5,403.8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135.1%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306,264.0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295,804.8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2,799,877.8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2,630,255.7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93.9%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2,230,908.3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2,093,765.6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337,312.5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310,617.1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49,975.0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45,768.5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181,682.0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180,104.5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0A3FEE" w:rsidTr="00652C6E">
        <w:trPr>
          <w:trHeight w:val="288"/>
        </w:trPr>
        <w:tc>
          <w:tcPr>
            <w:tcW w:w="2641" w:type="pct"/>
            <w:shd w:val="clear" w:color="auto" w:fill="auto"/>
            <w:vAlign w:val="center"/>
            <w:hideMark/>
          </w:tcPr>
          <w:p w:rsidR="000A3FEE" w:rsidRDefault="000A3FE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-51,364.1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339,235.6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0A3FEE" w:rsidRDefault="000A3FE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07E7B" w:rsidRPr="00D32159" w:rsidRDefault="00407E7B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407E7B" w:rsidRPr="00D32159" w:rsidSect="00652C6E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23" w:rsidRDefault="007E1C23">
      <w:r>
        <w:separator/>
      </w:r>
    </w:p>
  </w:endnote>
  <w:endnote w:type="continuationSeparator" w:id="0">
    <w:p w:rsidR="007E1C23" w:rsidRDefault="007E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7C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>
    <w:pPr>
      <w:pStyle w:val="Footer"/>
      <w:jc w:val="right"/>
    </w:pPr>
    <w:r>
      <w:fldChar w:fldCharType="begin"/>
    </w:r>
    <w:r w:rsidR="00511CEC">
      <w:instrText xml:space="preserve"> PAGE   \* MERGEFORMAT </w:instrText>
    </w:r>
    <w:r>
      <w:fldChar w:fldCharType="separate"/>
    </w:r>
    <w:r w:rsidR="00EC2A3C">
      <w:rPr>
        <w:noProof/>
      </w:rPr>
      <w:t>3</w:t>
    </w:r>
    <w:r>
      <w:rPr>
        <w:noProof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23" w:rsidRDefault="007E1C23">
      <w:r>
        <w:separator/>
      </w:r>
    </w:p>
  </w:footnote>
  <w:footnote w:type="continuationSeparator" w:id="0">
    <w:p w:rsidR="007E1C23" w:rsidRDefault="007E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51CC"/>
    <w:rsid w:val="004654B7"/>
    <w:rsid w:val="0047670D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64558"/>
    <w:rsid w:val="005702C8"/>
    <w:rsid w:val="0057122F"/>
    <w:rsid w:val="00571979"/>
    <w:rsid w:val="005B6FDA"/>
    <w:rsid w:val="005D77D7"/>
    <w:rsid w:val="005E4481"/>
    <w:rsid w:val="005F6E87"/>
    <w:rsid w:val="005F6FEF"/>
    <w:rsid w:val="0060447B"/>
    <w:rsid w:val="006142D5"/>
    <w:rsid w:val="0062284F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4AB5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735D"/>
    <w:rsid w:val="00F6396D"/>
    <w:rsid w:val="00F64FB6"/>
    <w:rsid w:val="00F67EBE"/>
    <w:rsid w:val="00F76B42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DCA1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FDC3-3843-49C1-AC05-FA63635D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7</cp:revision>
  <cp:lastPrinted>2018-04-25T12:08:00Z</cp:lastPrinted>
  <dcterms:created xsi:type="dcterms:W3CDTF">2017-04-20T08:31:00Z</dcterms:created>
  <dcterms:modified xsi:type="dcterms:W3CDTF">2018-04-25T12:28:00Z</dcterms:modified>
</cp:coreProperties>
</file>